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78215" w14:textId="52EA36E4" w:rsidR="003C47AE" w:rsidRDefault="00FD5F0D" w:rsidP="00006CC2">
      <w:pPr>
        <w:spacing w:line="360" w:lineRule="auto"/>
        <w:jc w:val="center"/>
        <w:rPr>
          <w:sz w:val="24"/>
        </w:rPr>
      </w:pPr>
      <w:r>
        <w:rPr>
          <w:noProof/>
          <w:sz w:val="24"/>
        </w:rPr>
        <w:drawing>
          <wp:inline distT="0" distB="0" distL="0" distR="0" wp14:anchorId="1CF78238" wp14:editId="1CF78239">
            <wp:extent cx="5274310" cy="6582410"/>
            <wp:effectExtent l="0" t="0" r="8890" b="889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6582410"/>
                    </a:xfrm>
                    <a:prstGeom prst="rect">
                      <a:avLst/>
                    </a:prstGeom>
                  </pic:spPr>
                </pic:pic>
              </a:graphicData>
            </a:graphic>
          </wp:inline>
        </w:drawing>
      </w:r>
    </w:p>
    <w:p w14:paraId="1CF78216" w14:textId="203C25A9" w:rsidR="003C47AE" w:rsidRDefault="00FD5F0D" w:rsidP="00006CC2">
      <w:pPr>
        <w:spacing w:line="360" w:lineRule="auto"/>
        <w:rPr>
          <w:kern w:val="0"/>
          <w:sz w:val="24"/>
        </w:rPr>
        <w:sectPr w:rsidR="003C47AE">
          <w:pgSz w:w="11906" w:h="16838"/>
          <w:pgMar w:top="1440" w:right="1800" w:bottom="1440" w:left="1800" w:header="851" w:footer="992" w:gutter="0"/>
          <w:lnNumType w:countBy="1" w:restart="continuous"/>
          <w:cols w:space="720"/>
          <w:docGrid w:type="lines" w:linePitch="312"/>
        </w:sectPr>
      </w:pPr>
      <w:r>
        <w:rPr>
          <w:b/>
          <w:sz w:val="24"/>
        </w:rPr>
        <w:t xml:space="preserve">Fig. S1. </w:t>
      </w:r>
      <w:r>
        <w:rPr>
          <w:kern w:val="0"/>
          <w:sz w:val="24"/>
        </w:rPr>
        <w:t xml:space="preserve">Functional enrichment of genes harboring proximal RECNEs in the lineages of </w:t>
      </w:r>
      <w:r>
        <w:rPr>
          <w:i/>
          <w:kern w:val="0"/>
          <w:sz w:val="24"/>
        </w:rPr>
        <w:t>Homo sapiens</w:t>
      </w:r>
      <w:r>
        <w:rPr>
          <w:kern w:val="0"/>
          <w:sz w:val="24"/>
        </w:rPr>
        <w:t xml:space="preserve"> (above) and the ancestor of </w:t>
      </w:r>
      <w:r w:rsidR="00F66052">
        <w:rPr>
          <w:kern w:val="0"/>
          <w:sz w:val="24"/>
        </w:rPr>
        <w:t xml:space="preserve">the </w:t>
      </w:r>
      <w:r>
        <w:rPr>
          <w:kern w:val="0"/>
          <w:sz w:val="24"/>
        </w:rPr>
        <w:t>Simiiformes (below). Gene Ontology (GO) enrichments were adjusted for multiple comparisons (FDR &lt; 0.05).</w:t>
      </w:r>
    </w:p>
    <w:p w14:paraId="1CF78217" w14:textId="77777777" w:rsidR="003C47AE" w:rsidRDefault="00FD5F0D" w:rsidP="00006CC2">
      <w:pPr>
        <w:spacing w:line="360" w:lineRule="auto"/>
        <w:jc w:val="center"/>
        <w:rPr>
          <w:sz w:val="24"/>
        </w:rPr>
      </w:pPr>
      <w:r>
        <w:rPr>
          <w:noProof/>
          <w:sz w:val="24"/>
        </w:rPr>
        <w:lastRenderedPageBreak/>
        <w:drawing>
          <wp:inline distT="0" distB="0" distL="0" distR="0" wp14:anchorId="1CF7823A" wp14:editId="1CF7823B">
            <wp:extent cx="5274310" cy="6920230"/>
            <wp:effectExtent l="0" t="0" r="889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310" cy="6920230"/>
                    </a:xfrm>
                    <a:prstGeom prst="rect">
                      <a:avLst/>
                    </a:prstGeom>
                  </pic:spPr>
                </pic:pic>
              </a:graphicData>
            </a:graphic>
          </wp:inline>
        </w:drawing>
      </w:r>
    </w:p>
    <w:p w14:paraId="1CF78218" w14:textId="733A44F9" w:rsidR="003C47AE" w:rsidRDefault="00FD5F0D" w:rsidP="00006CC2">
      <w:pPr>
        <w:spacing w:line="360" w:lineRule="auto"/>
        <w:rPr>
          <w:sz w:val="24"/>
        </w:rPr>
        <w:sectPr w:rsidR="003C47AE">
          <w:pgSz w:w="11906" w:h="16838"/>
          <w:pgMar w:top="1440" w:right="1800" w:bottom="1440" w:left="1800" w:header="851" w:footer="992" w:gutter="0"/>
          <w:lnNumType w:countBy="1" w:restart="continuous"/>
          <w:cols w:space="720"/>
          <w:docGrid w:type="lines" w:linePitch="312"/>
        </w:sectPr>
      </w:pPr>
      <w:r>
        <w:rPr>
          <w:b/>
          <w:sz w:val="24"/>
        </w:rPr>
        <w:t xml:space="preserve">Fig. S2. (A) </w:t>
      </w:r>
      <w:r>
        <w:rPr>
          <w:sz w:val="24"/>
        </w:rPr>
        <w:t xml:space="preserve">Dendrogram and heatmap show the Pearson correlation coefficients between pairs of identified cell clusters in the integrated analysis. The color bar corresponds to the correlation coefficient value. </w:t>
      </w:r>
      <w:r>
        <w:rPr>
          <w:b/>
          <w:sz w:val="24"/>
        </w:rPr>
        <w:t xml:space="preserve">(B) </w:t>
      </w:r>
      <w:r>
        <w:rPr>
          <w:sz w:val="24"/>
        </w:rPr>
        <w:t xml:space="preserve">Dot plot represents expression levels of top 5 marker genes across each integrated cluster. Dot size represents the </w:t>
      </w:r>
      <w:r w:rsidR="001F5F98">
        <w:rPr>
          <w:sz w:val="24"/>
        </w:rPr>
        <w:t xml:space="preserve">proportion </w:t>
      </w:r>
      <w:r>
        <w:rPr>
          <w:sz w:val="24"/>
        </w:rPr>
        <w:t xml:space="preserve">of cells expressing the marker of interest. Color bar indicates the mean expression </w:t>
      </w:r>
      <w:r w:rsidR="0013103E">
        <w:rPr>
          <w:sz w:val="24"/>
        </w:rPr>
        <w:t xml:space="preserve">level </w:t>
      </w:r>
      <w:r>
        <w:rPr>
          <w:sz w:val="24"/>
        </w:rPr>
        <w:t xml:space="preserve">within expressing cells. NPC, neuronal progenitor cell; NascIntN, </w:t>
      </w:r>
      <w:r>
        <w:rPr>
          <w:sz w:val="24"/>
        </w:rPr>
        <w:lastRenderedPageBreak/>
        <w:t>nascent inhibitory neuron; ExN, excitatory neuron; Astro, astrocyte; OPC, oligodendrocyte progenitor cell; Oligo, oligodendrocyte; Endo, endothelial; Peri, pericyte; EGL-GranN-trans, external granular layer transform</w:t>
      </w:r>
      <w:r w:rsidR="00F66052">
        <w:rPr>
          <w:sz w:val="24"/>
        </w:rPr>
        <w:t>ed</w:t>
      </w:r>
      <w:r>
        <w:rPr>
          <w:sz w:val="24"/>
        </w:rPr>
        <w:t xml:space="preserve"> granule neuron; IntN, inhibitory neuron; MSN, medium spiny neuron.</w:t>
      </w:r>
    </w:p>
    <w:p w14:paraId="1CF78219" w14:textId="77777777" w:rsidR="003C47AE" w:rsidRDefault="00FD5F0D" w:rsidP="00006CC2">
      <w:pPr>
        <w:spacing w:line="360" w:lineRule="auto"/>
        <w:jc w:val="center"/>
        <w:rPr>
          <w:sz w:val="24"/>
        </w:rPr>
      </w:pPr>
      <w:r>
        <w:rPr>
          <w:noProof/>
          <w:sz w:val="24"/>
        </w:rPr>
        <w:lastRenderedPageBreak/>
        <w:drawing>
          <wp:inline distT="0" distB="0" distL="0" distR="0" wp14:anchorId="1CF7823C" wp14:editId="1CF7823D">
            <wp:extent cx="5274310" cy="5353050"/>
            <wp:effectExtent l="0" t="0" r="889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274310" cy="5353050"/>
                    </a:xfrm>
                    <a:prstGeom prst="rect">
                      <a:avLst/>
                    </a:prstGeom>
                  </pic:spPr>
                </pic:pic>
              </a:graphicData>
            </a:graphic>
          </wp:inline>
        </w:drawing>
      </w:r>
    </w:p>
    <w:p w14:paraId="1CF7821A" w14:textId="22C2B3C3" w:rsidR="003C47AE" w:rsidRDefault="00FD5F0D" w:rsidP="00006CC2">
      <w:pPr>
        <w:spacing w:line="360" w:lineRule="auto"/>
        <w:rPr>
          <w:kern w:val="0"/>
          <w:sz w:val="24"/>
        </w:rPr>
      </w:pPr>
      <w:r>
        <w:rPr>
          <w:b/>
          <w:sz w:val="24"/>
        </w:rPr>
        <w:t xml:space="preserve">Fig. S3. </w:t>
      </w:r>
      <w:bookmarkStart w:id="0" w:name="OLE_LINK158"/>
      <w:r>
        <w:rPr>
          <w:kern w:val="0"/>
          <w:sz w:val="24"/>
        </w:rPr>
        <w:t xml:space="preserve">Functional enrichment of differentially expressed genes (DEGs) between human and tree shrew (above), between rhesus macaque and tree shrew (below) in the cell cluster annotated as </w:t>
      </w:r>
      <w:r>
        <w:rPr>
          <w:rFonts w:eastAsia="等线"/>
          <w:sz w:val="24"/>
        </w:rPr>
        <w:t>external granular layer transform</w:t>
      </w:r>
      <w:r w:rsidR="00F66052">
        <w:rPr>
          <w:rFonts w:eastAsia="等线"/>
          <w:sz w:val="24"/>
        </w:rPr>
        <w:t>ed</w:t>
      </w:r>
      <w:r>
        <w:rPr>
          <w:rFonts w:eastAsia="等线"/>
          <w:sz w:val="24"/>
        </w:rPr>
        <w:t xml:space="preserve"> granule neuron</w:t>
      </w:r>
      <w:r w:rsidR="00840678">
        <w:rPr>
          <w:rFonts w:eastAsia="等线"/>
          <w:sz w:val="24"/>
        </w:rPr>
        <w:t>s</w:t>
      </w:r>
      <w:r>
        <w:rPr>
          <w:rFonts w:eastAsia="等线"/>
          <w:sz w:val="24"/>
        </w:rPr>
        <w:t xml:space="preserve"> (EGL-GranN-trans)</w:t>
      </w:r>
      <w:r>
        <w:rPr>
          <w:kern w:val="0"/>
          <w:sz w:val="24"/>
        </w:rPr>
        <w:t>. Gene Ontology (GO) enrichments were adjusted for multiple comparisons (FDR &lt; 0.05).</w:t>
      </w:r>
    </w:p>
    <w:bookmarkEnd w:id="0"/>
    <w:p w14:paraId="1CF7821B" w14:textId="77777777" w:rsidR="003C47AE" w:rsidRDefault="00FD5F0D" w:rsidP="00006CC2">
      <w:pPr>
        <w:spacing w:line="360" w:lineRule="auto"/>
        <w:jc w:val="center"/>
        <w:rPr>
          <w:sz w:val="24"/>
        </w:rPr>
      </w:pPr>
      <w:r>
        <w:rPr>
          <w:noProof/>
          <w:sz w:val="24"/>
        </w:rPr>
        <w:lastRenderedPageBreak/>
        <w:drawing>
          <wp:inline distT="0" distB="0" distL="0" distR="0" wp14:anchorId="1CF7823E" wp14:editId="1CF7823F">
            <wp:extent cx="5274310" cy="5425440"/>
            <wp:effectExtent l="0" t="0" r="8890" b="1016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274310" cy="5425440"/>
                    </a:xfrm>
                    <a:prstGeom prst="rect">
                      <a:avLst/>
                    </a:prstGeom>
                  </pic:spPr>
                </pic:pic>
              </a:graphicData>
            </a:graphic>
          </wp:inline>
        </w:drawing>
      </w:r>
    </w:p>
    <w:p w14:paraId="1CF7821C" w14:textId="676CBC87" w:rsidR="003C47AE" w:rsidRDefault="00FD5F0D" w:rsidP="00006CC2">
      <w:pPr>
        <w:spacing w:line="360" w:lineRule="auto"/>
        <w:jc w:val="left"/>
        <w:rPr>
          <w:kern w:val="0"/>
          <w:sz w:val="24"/>
        </w:rPr>
        <w:sectPr w:rsidR="003C47AE">
          <w:pgSz w:w="11906" w:h="16838"/>
          <w:pgMar w:top="1440" w:right="1800" w:bottom="1440" w:left="1800" w:header="851" w:footer="992" w:gutter="0"/>
          <w:lnNumType w:countBy="1" w:restart="continuous"/>
          <w:cols w:space="720"/>
          <w:docGrid w:type="lines" w:linePitch="312"/>
        </w:sectPr>
      </w:pPr>
      <w:r>
        <w:rPr>
          <w:b/>
          <w:sz w:val="24"/>
        </w:rPr>
        <w:t>Fig. S4. (A)</w:t>
      </w:r>
      <w:r>
        <w:rPr>
          <w:sz w:val="24"/>
        </w:rPr>
        <w:t xml:space="preserve"> The overlap results between differentially expressed genes (DEGs, between human and tree shrew) of each cell cluster from the integrated analysis and genes harboring activated peaks in human fetal brain, only in primate fetal brain (primate: human and rhesus macaque; compared with mouse) and only in human fetal brain (compared with rhesus macaque and mouse), respectively. </w:t>
      </w:r>
      <w:r>
        <w:rPr>
          <w:b/>
          <w:sz w:val="24"/>
        </w:rPr>
        <w:t>(B)</w:t>
      </w:r>
      <w:r>
        <w:rPr>
          <w:sz w:val="24"/>
        </w:rPr>
        <w:t xml:space="preserve"> The overlap results between differentially expressed genes (DEGs, between rhesus macaque and tree shrew) of each cell cluster from the integrated analysis and genes harboring activated peaks in human fetal brain, only in primate fetal brain (primate: human and rhesus macaque; compared with mouse) and only in human fetal brain (compared with rhesus macaque and mouse), respectively. Counts of overlapping genes are plotted (with number indicated by the dot size), the ratio of overlap being denoted by </w:t>
      </w:r>
      <w:r>
        <w:rPr>
          <w:sz w:val="24"/>
        </w:rPr>
        <w:lastRenderedPageBreak/>
        <w:t>color (</w:t>
      </w:r>
      <w:r>
        <w:rPr>
          <w:rFonts w:eastAsia="等线"/>
          <w:iCs/>
          <w:sz w:val="24"/>
        </w:rPr>
        <w:t xml:space="preserve">the ratio of intersection over the total number of </w:t>
      </w:r>
      <w:r>
        <w:rPr>
          <w:sz w:val="24"/>
        </w:rPr>
        <w:t xml:space="preserve">DEGs in each cell cluster was used to depict the </w:t>
      </w:r>
      <w:r w:rsidR="006558F2">
        <w:rPr>
          <w:sz w:val="24"/>
        </w:rPr>
        <w:t xml:space="preserve">extent </w:t>
      </w:r>
      <w:r>
        <w:rPr>
          <w:sz w:val="24"/>
        </w:rPr>
        <w:t>of overlap). NPC, neuronal progenitor cell; NascIntN, nascent inhibitory neuron; ExN, excitatory neuron; Astro, astrocyte; OPC, oligodendrocyte progenitor cell; Oligo, oligodendrocyte; Endo, endothelial; Peri, pericyte; EGL-GranN-trans, external granular layer transform</w:t>
      </w:r>
      <w:r w:rsidR="00F66052">
        <w:rPr>
          <w:sz w:val="24"/>
        </w:rPr>
        <w:t>ed</w:t>
      </w:r>
      <w:r>
        <w:rPr>
          <w:sz w:val="24"/>
        </w:rPr>
        <w:t xml:space="preserve"> granule neuron; IntN, inhibitory neuron; MSN, medium spiny neuron.</w:t>
      </w:r>
      <w:r>
        <w:rPr>
          <w:kern w:val="0"/>
          <w:sz w:val="24"/>
        </w:rPr>
        <w:t xml:space="preserve"> </w:t>
      </w:r>
    </w:p>
    <w:p w14:paraId="1CF7821D" w14:textId="77777777" w:rsidR="003C47AE" w:rsidRDefault="00FD5F0D" w:rsidP="00006CC2">
      <w:pPr>
        <w:spacing w:line="360" w:lineRule="auto"/>
        <w:jc w:val="center"/>
        <w:rPr>
          <w:kern w:val="0"/>
          <w:sz w:val="24"/>
        </w:rPr>
      </w:pPr>
      <w:r>
        <w:rPr>
          <w:noProof/>
          <w:kern w:val="0"/>
          <w:sz w:val="24"/>
        </w:rPr>
        <w:lastRenderedPageBreak/>
        <w:drawing>
          <wp:inline distT="0" distB="0" distL="0" distR="0" wp14:anchorId="1CF78240" wp14:editId="1CF78241">
            <wp:extent cx="5274310" cy="4899025"/>
            <wp:effectExtent l="0" t="0" r="889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extLst>
                        <a:ext uri="{28A0092B-C50C-407E-A947-70E740481C1C}">
                          <a14:useLocalDpi xmlns:a14="http://schemas.microsoft.com/office/drawing/2010/main" val="0"/>
                        </a:ext>
                      </a:extLst>
                    </a:blip>
                    <a:srcRect t="4988"/>
                    <a:stretch>
                      <a:fillRect/>
                    </a:stretch>
                  </pic:blipFill>
                  <pic:spPr>
                    <a:xfrm>
                      <a:off x="0" y="0"/>
                      <a:ext cx="5274310" cy="4899025"/>
                    </a:xfrm>
                    <a:prstGeom prst="rect">
                      <a:avLst/>
                    </a:prstGeom>
                    <a:ln>
                      <a:noFill/>
                    </a:ln>
                  </pic:spPr>
                </pic:pic>
              </a:graphicData>
            </a:graphic>
          </wp:inline>
        </w:drawing>
      </w:r>
    </w:p>
    <w:p w14:paraId="1CF7821E" w14:textId="6C5B6951" w:rsidR="003C47AE" w:rsidRDefault="00FD5F0D" w:rsidP="00006CC2">
      <w:pPr>
        <w:spacing w:line="360" w:lineRule="auto"/>
        <w:jc w:val="left"/>
        <w:rPr>
          <w:kern w:val="0"/>
          <w:sz w:val="24"/>
        </w:rPr>
        <w:sectPr w:rsidR="003C47AE">
          <w:pgSz w:w="11906" w:h="16838"/>
          <w:pgMar w:top="1440" w:right="1800" w:bottom="1440" w:left="1800" w:header="851" w:footer="992" w:gutter="0"/>
          <w:lnNumType w:countBy="1" w:restart="continuous"/>
          <w:cols w:space="720"/>
          <w:docGrid w:type="lines" w:linePitch="312"/>
        </w:sectPr>
      </w:pPr>
      <w:r>
        <w:rPr>
          <w:b/>
          <w:sz w:val="24"/>
        </w:rPr>
        <w:t xml:space="preserve">Fig. S5. </w:t>
      </w:r>
      <w:r>
        <w:rPr>
          <w:rFonts w:eastAsia="等线"/>
          <w:sz w:val="24"/>
        </w:rPr>
        <w:t xml:space="preserve">The overlap results between genes harboring proximal </w:t>
      </w:r>
      <w:r>
        <w:rPr>
          <w:rFonts w:eastAsia="等线"/>
          <w:iCs/>
          <w:sz w:val="24"/>
        </w:rPr>
        <w:t>RECNEs</w:t>
      </w:r>
      <w:r>
        <w:rPr>
          <w:rFonts w:eastAsia="等线"/>
          <w:sz w:val="24"/>
        </w:rPr>
        <w:t xml:space="preserve"> in each primate lineage and DEGs between rhesus macaque and tree shrew. The significance of </w:t>
      </w:r>
      <w:r w:rsidR="006558F2">
        <w:rPr>
          <w:rFonts w:eastAsia="等线"/>
          <w:sz w:val="24"/>
        </w:rPr>
        <w:t xml:space="preserve">the </w:t>
      </w:r>
      <w:r>
        <w:rPr>
          <w:rFonts w:eastAsia="等线"/>
          <w:sz w:val="24"/>
        </w:rPr>
        <w:t xml:space="preserve">overlap was measured by Fisher’s exact test, and the p values were corrected for multiple testing using Benjamini-Hochberg. Counts of overlapping genes are plotted (with the number indicated by dot size), the significance of </w:t>
      </w:r>
      <w:r w:rsidR="006558F2">
        <w:rPr>
          <w:rFonts w:eastAsia="等线"/>
          <w:sz w:val="24"/>
        </w:rPr>
        <w:t xml:space="preserve">the </w:t>
      </w:r>
      <w:r>
        <w:rPr>
          <w:rFonts w:eastAsia="等线"/>
          <w:sz w:val="24"/>
        </w:rPr>
        <w:t>overlap being denoted by color (</w:t>
      </w:r>
      <w:r>
        <w:rPr>
          <w:sz w:val="24"/>
        </w:rPr>
        <w:t>dark blue, Significant; white, Non-significant</w:t>
      </w:r>
      <w:r>
        <w:rPr>
          <w:rFonts w:eastAsia="等线"/>
          <w:sz w:val="24"/>
        </w:rPr>
        <w:t>). NPC, neuronal progenitor cell; NascInN, nascent inhibitory neuron; ExN, excitatory neuron; Astro, astrocyte; OPC, oligodendrocyte progenitor cell; Oligo, oligodendrocyte; Endo, endothelial; Peri, pericyte; EGL-GranN-trans, external granular layer transform</w:t>
      </w:r>
      <w:r w:rsidR="00F66052">
        <w:rPr>
          <w:rFonts w:eastAsia="等线"/>
          <w:sz w:val="24"/>
        </w:rPr>
        <w:t>ed</w:t>
      </w:r>
      <w:r>
        <w:rPr>
          <w:rFonts w:eastAsia="等线"/>
          <w:sz w:val="24"/>
        </w:rPr>
        <w:t xml:space="preserve"> granule neuron; IntN, inhibitory neuron; MSN, medium spiny neuron.</w:t>
      </w:r>
    </w:p>
    <w:p w14:paraId="1CF7821F" w14:textId="77777777" w:rsidR="003C47AE" w:rsidRDefault="00FD5F0D" w:rsidP="00006CC2">
      <w:pPr>
        <w:spacing w:line="360" w:lineRule="auto"/>
        <w:jc w:val="center"/>
        <w:rPr>
          <w:b/>
          <w:sz w:val="24"/>
        </w:rPr>
      </w:pPr>
      <w:r>
        <w:rPr>
          <w:noProof/>
          <w:sz w:val="24"/>
        </w:rPr>
        <w:lastRenderedPageBreak/>
        <w:drawing>
          <wp:inline distT="0" distB="0" distL="0" distR="0" wp14:anchorId="1CF78242" wp14:editId="1CF78243">
            <wp:extent cx="5274310" cy="7452995"/>
            <wp:effectExtent l="0" t="0" r="889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274310" cy="7452995"/>
                    </a:xfrm>
                    <a:prstGeom prst="rect">
                      <a:avLst/>
                    </a:prstGeom>
                  </pic:spPr>
                </pic:pic>
              </a:graphicData>
            </a:graphic>
          </wp:inline>
        </w:drawing>
      </w:r>
    </w:p>
    <w:p w14:paraId="1CF78220" w14:textId="77777777" w:rsidR="003C47AE" w:rsidRDefault="00FD5F0D" w:rsidP="00006CC2">
      <w:pPr>
        <w:spacing w:line="360" w:lineRule="auto"/>
        <w:rPr>
          <w:kern w:val="0"/>
          <w:sz w:val="24"/>
        </w:rPr>
        <w:sectPr w:rsidR="003C47AE">
          <w:pgSz w:w="11906" w:h="16838"/>
          <w:pgMar w:top="1440" w:right="1800" w:bottom="1440" w:left="1800" w:header="851" w:footer="992" w:gutter="0"/>
          <w:lnNumType w:countBy="1" w:restart="continuous"/>
          <w:cols w:space="720"/>
          <w:docGrid w:type="lines" w:linePitch="312"/>
        </w:sectPr>
      </w:pPr>
      <w:r>
        <w:rPr>
          <w:b/>
          <w:sz w:val="24"/>
        </w:rPr>
        <w:t>Fig. S6.</w:t>
      </w:r>
      <w:r>
        <w:rPr>
          <w:sz w:val="24"/>
        </w:rPr>
        <w:t xml:space="preserve"> Principal component analysis (PCA) showing transcriptional divergence of brain tissues and non-neural tissues from human </w:t>
      </w:r>
      <w:r>
        <w:rPr>
          <w:b/>
          <w:sz w:val="24"/>
        </w:rPr>
        <w:t>(A)</w:t>
      </w:r>
      <w:r>
        <w:rPr>
          <w:sz w:val="24"/>
        </w:rPr>
        <w:t xml:space="preserve">, rhesus macaque </w:t>
      </w:r>
      <w:r>
        <w:rPr>
          <w:b/>
          <w:sz w:val="24"/>
        </w:rPr>
        <w:t>(B)</w:t>
      </w:r>
      <w:r>
        <w:rPr>
          <w:sz w:val="24"/>
        </w:rPr>
        <w:t xml:space="preserve"> and tree shrew </w:t>
      </w:r>
      <w:r>
        <w:rPr>
          <w:b/>
          <w:sz w:val="24"/>
        </w:rPr>
        <w:t>(C)</w:t>
      </w:r>
      <w:r>
        <w:rPr>
          <w:sz w:val="24"/>
        </w:rPr>
        <w:t xml:space="preserve">, respectively. ACC, Anterior cingulate cortex; HIP: Hippocampus; PFC, Frontal cortex; STR, Striatum; DPFC, Dorsolateral prefrontal cortex; PMC, Premotor </w:t>
      </w:r>
      <w:r>
        <w:rPr>
          <w:sz w:val="24"/>
        </w:rPr>
        <w:lastRenderedPageBreak/>
        <w:t>cortex; V1C, Primary visual cortex; VPFC, Ventral lateral prefrontal cortex</w:t>
      </w:r>
    </w:p>
    <w:p w14:paraId="1CF78221" w14:textId="77777777" w:rsidR="003C47AE" w:rsidRDefault="00FD5F0D" w:rsidP="00006CC2">
      <w:pPr>
        <w:spacing w:line="360" w:lineRule="auto"/>
        <w:jc w:val="center"/>
        <w:rPr>
          <w:sz w:val="24"/>
        </w:rPr>
      </w:pPr>
      <w:r>
        <w:rPr>
          <w:noProof/>
          <w:sz w:val="24"/>
        </w:rPr>
        <w:lastRenderedPageBreak/>
        <w:drawing>
          <wp:inline distT="0" distB="0" distL="0" distR="0" wp14:anchorId="1CF78244" wp14:editId="1CF78245">
            <wp:extent cx="5274310" cy="7412355"/>
            <wp:effectExtent l="0" t="0" r="889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274310" cy="7412355"/>
                    </a:xfrm>
                    <a:prstGeom prst="rect">
                      <a:avLst/>
                    </a:prstGeom>
                  </pic:spPr>
                </pic:pic>
              </a:graphicData>
            </a:graphic>
          </wp:inline>
        </w:drawing>
      </w:r>
    </w:p>
    <w:p w14:paraId="1CF78222" w14:textId="77777777" w:rsidR="003C47AE" w:rsidRDefault="00FD5F0D" w:rsidP="00006CC2">
      <w:pPr>
        <w:spacing w:line="360" w:lineRule="auto"/>
        <w:rPr>
          <w:rFonts w:eastAsia="等线"/>
          <w:sz w:val="24"/>
        </w:rPr>
      </w:pPr>
      <w:r>
        <w:rPr>
          <w:b/>
          <w:sz w:val="24"/>
        </w:rPr>
        <w:t>Fig. S7.</w:t>
      </w:r>
      <w:r>
        <w:rPr>
          <w:rFonts w:eastAsia="等线"/>
          <w:sz w:val="24"/>
        </w:rPr>
        <w:t xml:space="preserve"> Hierarchical clustering of RNA samples showing distinct clusters of brain tissues and non-neural tissues from human </w:t>
      </w:r>
      <w:r>
        <w:rPr>
          <w:rFonts w:eastAsia="等线"/>
          <w:b/>
          <w:sz w:val="24"/>
        </w:rPr>
        <w:t>(A)</w:t>
      </w:r>
      <w:r>
        <w:rPr>
          <w:rFonts w:eastAsia="等线"/>
          <w:sz w:val="24"/>
        </w:rPr>
        <w:t xml:space="preserve">, rhesus macaque </w:t>
      </w:r>
      <w:r>
        <w:rPr>
          <w:rFonts w:eastAsia="等线"/>
          <w:b/>
          <w:sz w:val="24"/>
        </w:rPr>
        <w:t>(B)</w:t>
      </w:r>
      <w:r>
        <w:rPr>
          <w:rFonts w:eastAsia="等线"/>
          <w:sz w:val="24"/>
        </w:rPr>
        <w:t xml:space="preserve"> and tree shrew </w:t>
      </w:r>
      <w:r>
        <w:rPr>
          <w:rFonts w:eastAsia="等线"/>
          <w:b/>
          <w:sz w:val="24"/>
        </w:rPr>
        <w:t>(C)</w:t>
      </w:r>
      <w:r>
        <w:rPr>
          <w:rFonts w:eastAsia="等线"/>
          <w:sz w:val="24"/>
        </w:rPr>
        <w:t xml:space="preserve">. The naming format of RNA samples was “individual name_tissue name”. ACC, Anterior cingulate cortex; HIP: Hippocampus; PFC, Frontal cortex; STR, Striatum; </w:t>
      </w:r>
      <w:r>
        <w:rPr>
          <w:rFonts w:eastAsia="等线"/>
          <w:sz w:val="24"/>
        </w:rPr>
        <w:lastRenderedPageBreak/>
        <w:t>DPFC, Dorsolateral prefrontal cortex; PMC, Premotor cortex; V1C, Primary visual cortex; VPFC, Ventral lateral prefrontal cortex.</w:t>
      </w:r>
    </w:p>
    <w:p w14:paraId="1CF78223" w14:textId="77777777" w:rsidR="003C47AE" w:rsidRDefault="003C47AE" w:rsidP="00006CC2">
      <w:pPr>
        <w:widowControl/>
        <w:spacing w:line="360" w:lineRule="auto"/>
        <w:jc w:val="center"/>
        <w:rPr>
          <w:rFonts w:eastAsia="等线"/>
          <w:b/>
          <w:kern w:val="0"/>
          <w:sz w:val="24"/>
        </w:rPr>
        <w:sectPr w:rsidR="003C47AE">
          <w:pgSz w:w="11906" w:h="16838"/>
          <w:pgMar w:top="1440" w:right="1800" w:bottom="1440" w:left="1800" w:header="851" w:footer="992" w:gutter="0"/>
          <w:lnNumType w:countBy="1" w:restart="continuous"/>
          <w:cols w:space="720"/>
          <w:docGrid w:type="lines" w:linePitch="312"/>
        </w:sectPr>
      </w:pPr>
    </w:p>
    <w:p w14:paraId="1CF78224" w14:textId="77777777" w:rsidR="003C47AE" w:rsidRDefault="00FD5F0D" w:rsidP="00006CC2">
      <w:pPr>
        <w:spacing w:line="360" w:lineRule="auto"/>
        <w:jc w:val="center"/>
        <w:rPr>
          <w:rFonts w:eastAsia="等线"/>
          <w:sz w:val="24"/>
        </w:rPr>
      </w:pPr>
      <w:r>
        <w:rPr>
          <w:rFonts w:eastAsia="等线"/>
          <w:noProof/>
          <w:sz w:val="24"/>
        </w:rPr>
        <w:lastRenderedPageBreak/>
        <w:drawing>
          <wp:inline distT="0" distB="0" distL="0" distR="0" wp14:anchorId="1CF78246" wp14:editId="1CF78247">
            <wp:extent cx="5274310" cy="7433945"/>
            <wp:effectExtent l="0" t="0" r="8890" b="825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74310" cy="7433945"/>
                    </a:xfrm>
                    <a:prstGeom prst="rect">
                      <a:avLst/>
                    </a:prstGeom>
                  </pic:spPr>
                </pic:pic>
              </a:graphicData>
            </a:graphic>
          </wp:inline>
        </w:drawing>
      </w:r>
    </w:p>
    <w:p w14:paraId="1CF78225" w14:textId="77777777" w:rsidR="003C47AE" w:rsidRDefault="00FD5F0D" w:rsidP="00006CC2">
      <w:pPr>
        <w:widowControl/>
        <w:spacing w:line="360" w:lineRule="auto"/>
        <w:jc w:val="left"/>
        <w:rPr>
          <w:sz w:val="24"/>
        </w:rPr>
        <w:sectPr w:rsidR="003C47AE">
          <w:pgSz w:w="11906" w:h="16838"/>
          <w:pgMar w:top="1440" w:right="1800" w:bottom="1440" w:left="1800" w:header="851" w:footer="992" w:gutter="0"/>
          <w:lnNumType w:countBy="1" w:restart="continuous"/>
          <w:cols w:space="720"/>
          <w:docGrid w:type="lines" w:linePitch="312"/>
        </w:sectPr>
      </w:pPr>
      <w:r>
        <w:rPr>
          <w:b/>
          <w:sz w:val="24"/>
        </w:rPr>
        <w:t>Fig. S8.</w:t>
      </w:r>
      <w:r>
        <w:rPr>
          <w:rFonts w:eastAsia="等线"/>
          <w:b/>
          <w:sz w:val="24"/>
        </w:rPr>
        <w:t xml:space="preserve"> </w:t>
      </w:r>
      <w:r>
        <w:rPr>
          <w:rFonts w:eastAsia="等线"/>
          <w:sz w:val="24"/>
        </w:rPr>
        <w:t xml:space="preserve">Heatmap </w:t>
      </w:r>
      <w:r>
        <w:rPr>
          <w:sz w:val="24"/>
        </w:rPr>
        <w:t>depicting the</w:t>
      </w:r>
      <w:r>
        <w:rPr>
          <w:rFonts w:eastAsia="等线"/>
          <w:sz w:val="24"/>
        </w:rPr>
        <w:t xml:space="preserve"> expression profile of PSBEGs in subventricular zone (SVZ), ventricular zone (VZ) brain regions (</w:t>
      </w:r>
      <w:r>
        <w:rPr>
          <w:rFonts w:eastAsia="等线"/>
          <w:b/>
          <w:sz w:val="24"/>
        </w:rPr>
        <w:t>A</w:t>
      </w:r>
      <w:r>
        <w:rPr>
          <w:rFonts w:eastAsia="等线"/>
          <w:sz w:val="24"/>
        </w:rPr>
        <w:t>) and apical radial glia (aRG), basal radial glia (bRG) cells (</w:t>
      </w:r>
      <w:r>
        <w:rPr>
          <w:rFonts w:eastAsia="等线"/>
          <w:b/>
          <w:sz w:val="24"/>
        </w:rPr>
        <w:t>B</w:t>
      </w:r>
      <w:r>
        <w:rPr>
          <w:rFonts w:eastAsia="等线"/>
          <w:sz w:val="24"/>
        </w:rPr>
        <w:t xml:space="preserve">) from fetal human and fetal mouse, respectively; transcriptome data were from </w:t>
      </w:r>
      <w:r>
        <w:rPr>
          <w:rFonts w:eastAsia="等线"/>
          <w:sz w:val="24"/>
        </w:rPr>
        <w:fldChar w:fldCharType="begin">
          <w:fldData xml:space="preserve">PEVuZE5vdGU+PENpdGU+PEF1dGhvcj5GaWV0ejwvQXV0aG9yPjxZZWFyPjIwMTI8L1llYXI+PFJl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</w:fldData>
        </w:fldChar>
      </w:r>
      <w:r>
        <w:rPr>
          <w:rFonts w:eastAsia="等线"/>
          <w:sz w:val="24"/>
        </w:rPr>
        <w:instrText xml:space="preserve"> ADDIN EN.CITE </w:instrText>
      </w:r>
      <w:r>
        <w:rPr>
          <w:rFonts w:eastAsia="等线"/>
          <w:sz w:val="24"/>
        </w:rPr>
        <w:fldChar w:fldCharType="begin">
          <w:fldData xml:space="preserve">PEVuZE5vdGU+PENpdGU+PEF1dGhvcj5GaWV0ejwvQXV0aG9yPjxZZWFyPjIwMTI8L1llYXI+PFJl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</w:fldData>
        </w:fldChar>
      </w:r>
      <w:r>
        <w:rPr>
          <w:rFonts w:eastAsia="等线"/>
          <w:sz w:val="24"/>
        </w:rPr>
        <w:instrText xml:space="preserve"> ADDIN EN.CITE.DATA </w:instrText>
      </w:r>
      <w:r>
        <w:rPr>
          <w:rFonts w:eastAsia="等线"/>
          <w:sz w:val="24"/>
        </w:rPr>
      </w:r>
      <w:r>
        <w:rPr>
          <w:rFonts w:eastAsia="等线"/>
          <w:sz w:val="24"/>
        </w:rPr>
        <w:fldChar w:fldCharType="end"/>
      </w:r>
      <w:r>
        <w:rPr>
          <w:rFonts w:eastAsia="等线"/>
          <w:sz w:val="24"/>
        </w:rPr>
      </w:r>
      <w:r>
        <w:rPr>
          <w:rFonts w:eastAsia="等线"/>
          <w:sz w:val="24"/>
        </w:rPr>
        <w:fldChar w:fldCharType="separate"/>
      </w:r>
      <w:r>
        <w:rPr>
          <w:rFonts w:eastAsia="等线"/>
          <w:sz w:val="24"/>
        </w:rPr>
        <w:t>(</w:t>
      </w:r>
      <w:hyperlink w:anchor="_ENREF_1" w:tooltip="Fietz, 2012 #91" w:history="1">
        <w:r w:rsidR="00D547DF">
          <w:rPr>
            <w:rFonts w:eastAsia="等线"/>
            <w:sz w:val="24"/>
          </w:rPr>
          <w:t>Fietz, et al. 2012</w:t>
        </w:r>
      </w:hyperlink>
      <w:r>
        <w:rPr>
          <w:rFonts w:eastAsia="等线"/>
          <w:sz w:val="24"/>
        </w:rPr>
        <w:t xml:space="preserve">; </w:t>
      </w:r>
      <w:hyperlink w:anchor="_ENREF_2" w:tooltip="Florio, 2015 #92" w:history="1">
        <w:r w:rsidR="00D547DF">
          <w:rPr>
            <w:rFonts w:eastAsia="等线"/>
            <w:sz w:val="24"/>
          </w:rPr>
          <w:t>Florio, et al. 2015</w:t>
        </w:r>
      </w:hyperlink>
      <w:r>
        <w:rPr>
          <w:rFonts w:eastAsia="等线"/>
          <w:sz w:val="24"/>
        </w:rPr>
        <w:t>)</w:t>
      </w:r>
      <w:r>
        <w:rPr>
          <w:rFonts w:eastAsia="等线"/>
          <w:sz w:val="24"/>
        </w:rPr>
        <w:fldChar w:fldCharType="end"/>
      </w:r>
      <w:r>
        <w:rPr>
          <w:rFonts w:eastAsia="等线"/>
          <w:sz w:val="24"/>
        </w:rPr>
        <w:t xml:space="preserve">. Three genes </w:t>
      </w:r>
      <w:r w:rsidR="00041F34">
        <w:rPr>
          <w:rFonts w:eastAsia="等线"/>
          <w:sz w:val="24"/>
        </w:rPr>
        <w:lastRenderedPageBreak/>
        <w:t>[</w:t>
      </w:r>
      <w:bookmarkStart w:id="1" w:name="OLE_LINK159"/>
      <w:bookmarkStart w:id="2" w:name="OLE_LINK160"/>
      <w:r w:rsidR="00041F34">
        <w:rPr>
          <w:rFonts w:eastAsia="等线"/>
          <w:sz w:val="24"/>
        </w:rPr>
        <w:t>ENSG00000101144</w:t>
      </w:r>
      <w:bookmarkEnd w:id="1"/>
      <w:bookmarkEnd w:id="2"/>
      <w:r w:rsidR="0035570D">
        <w:rPr>
          <w:rFonts w:eastAsia="等线"/>
          <w:sz w:val="24"/>
        </w:rPr>
        <w:t xml:space="preserve"> (</w:t>
      </w:r>
      <w:r w:rsidR="0035570D" w:rsidRPr="000B6AAF">
        <w:rPr>
          <w:rFonts w:eastAsia="等线"/>
          <w:i/>
          <w:sz w:val="24"/>
        </w:rPr>
        <w:t>BMP7</w:t>
      </w:r>
      <w:r w:rsidR="0035570D">
        <w:rPr>
          <w:rFonts w:eastAsia="等线"/>
          <w:sz w:val="24"/>
        </w:rPr>
        <w:t>),</w:t>
      </w:r>
      <w:r w:rsidR="00041F34">
        <w:rPr>
          <w:rFonts w:eastAsia="等线"/>
          <w:sz w:val="24"/>
        </w:rPr>
        <w:t xml:space="preserve"> </w:t>
      </w:r>
      <w:bookmarkStart w:id="3" w:name="OLE_LINK161"/>
      <w:bookmarkStart w:id="4" w:name="OLE_LINK162"/>
      <w:r w:rsidR="00041F34">
        <w:rPr>
          <w:rFonts w:eastAsia="等线"/>
          <w:sz w:val="24"/>
        </w:rPr>
        <w:t>ENSG00000211448</w:t>
      </w:r>
      <w:bookmarkEnd w:id="3"/>
      <w:bookmarkEnd w:id="4"/>
      <w:r w:rsidR="0035570D">
        <w:rPr>
          <w:rFonts w:eastAsia="等线"/>
          <w:sz w:val="24"/>
        </w:rPr>
        <w:t xml:space="preserve"> (</w:t>
      </w:r>
      <w:r w:rsidR="0035570D" w:rsidRPr="000B6AAF">
        <w:rPr>
          <w:rFonts w:eastAsia="等线"/>
          <w:i/>
          <w:sz w:val="24"/>
        </w:rPr>
        <w:t>DIO2</w:t>
      </w:r>
      <w:r w:rsidR="0035570D">
        <w:rPr>
          <w:rFonts w:eastAsia="等线"/>
          <w:sz w:val="24"/>
        </w:rPr>
        <w:t>),</w:t>
      </w:r>
      <w:bookmarkStart w:id="5" w:name="OLE_LINK163"/>
      <w:bookmarkStart w:id="6" w:name="OLE_LINK164"/>
      <w:r w:rsidR="0035570D">
        <w:rPr>
          <w:rFonts w:eastAsia="等线"/>
          <w:sz w:val="24"/>
        </w:rPr>
        <w:t xml:space="preserve"> and </w:t>
      </w:r>
      <w:r w:rsidR="00041F34">
        <w:rPr>
          <w:rFonts w:eastAsia="等线"/>
          <w:sz w:val="24"/>
        </w:rPr>
        <w:t>ENSG00000112280</w:t>
      </w:r>
      <w:bookmarkEnd w:id="5"/>
      <w:bookmarkEnd w:id="6"/>
      <w:r w:rsidR="0035570D">
        <w:rPr>
          <w:rFonts w:eastAsia="等线"/>
          <w:sz w:val="24"/>
        </w:rPr>
        <w:t xml:space="preserve"> (</w:t>
      </w:r>
      <w:r w:rsidR="0035570D" w:rsidRPr="000B6AAF">
        <w:rPr>
          <w:rFonts w:eastAsia="等线"/>
          <w:i/>
          <w:sz w:val="24"/>
        </w:rPr>
        <w:t>COL9A1</w:t>
      </w:r>
      <w:r w:rsidR="0035570D">
        <w:rPr>
          <w:rFonts w:eastAsia="等线"/>
          <w:sz w:val="24"/>
        </w:rPr>
        <w:t>)</w:t>
      </w:r>
      <w:r w:rsidR="00041F34">
        <w:rPr>
          <w:rFonts w:eastAsia="等线"/>
          <w:sz w:val="24"/>
        </w:rPr>
        <w:t xml:space="preserve">] </w:t>
      </w:r>
      <w:r>
        <w:rPr>
          <w:rFonts w:eastAsia="等线"/>
          <w:sz w:val="24"/>
        </w:rPr>
        <w:t>that showed the expected pattern in both SVZ, VZ and aRG, bRG of fetal human and fetal mouse are shown in (</w:t>
      </w:r>
      <w:r>
        <w:rPr>
          <w:rFonts w:eastAsia="等线"/>
          <w:b/>
          <w:sz w:val="24"/>
        </w:rPr>
        <w:t>C)</w:t>
      </w:r>
      <w:r>
        <w:rPr>
          <w:rFonts w:eastAsia="等线"/>
          <w:sz w:val="24"/>
        </w:rPr>
        <w:t>. Regions and cell types are distinguished by color (yellow, SVZ, aRG; brown, VZ, bRG)</w:t>
      </w:r>
      <w:r>
        <w:rPr>
          <w:sz w:val="24"/>
        </w:rPr>
        <w:t xml:space="preserve">, species are </w:t>
      </w:r>
      <w:r>
        <w:rPr>
          <w:rFonts w:eastAsia="等线"/>
          <w:sz w:val="24"/>
        </w:rPr>
        <w:t>distinguished by color</w:t>
      </w:r>
      <w:r>
        <w:rPr>
          <w:sz w:val="24"/>
        </w:rPr>
        <w:t xml:space="preserve"> (blue, human; green, mouse).</w:t>
      </w:r>
    </w:p>
    <w:p w14:paraId="1CF78226" w14:textId="77777777" w:rsidR="003C47AE" w:rsidRDefault="00FD5F0D" w:rsidP="00006CC2">
      <w:pPr>
        <w:spacing w:line="360" w:lineRule="auto"/>
        <w:rPr>
          <w:sz w:val="24"/>
        </w:rPr>
      </w:pPr>
      <w:r>
        <w:rPr>
          <w:noProof/>
          <w:sz w:val="24"/>
        </w:rPr>
        <w:lastRenderedPageBreak/>
        <w:drawing>
          <wp:inline distT="0" distB="0" distL="0" distR="0" wp14:anchorId="1CF78248" wp14:editId="1CF78249">
            <wp:extent cx="5274310" cy="1412240"/>
            <wp:effectExtent l="0" t="0" r="8890" b="1016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274310" cy="1412240"/>
                    </a:xfrm>
                    <a:prstGeom prst="rect">
                      <a:avLst/>
                    </a:prstGeom>
                  </pic:spPr>
                </pic:pic>
              </a:graphicData>
            </a:graphic>
          </wp:inline>
        </w:drawing>
      </w:r>
      <w:r>
        <w:rPr>
          <w:b/>
          <w:sz w:val="24"/>
        </w:rPr>
        <w:t>Fig. S9.</w:t>
      </w:r>
      <w:r>
        <w:rPr>
          <w:sz w:val="24"/>
        </w:rPr>
        <w:t xml:space="preserve"> </w:t>
      </w:r>
      <w:r>
        <w:rPr>
          <w:rFonts w:eastAsia="等线"/>
          <w:sz w:val="24"/>
        </w:rPr>
        <w:t xml:space="preserve">Schematic diagram of </w:t>
      </w:r>
      <w:r>
        <w:rPr>
          <w:i/>
          <w:iCs/>
          <w:sz w:val="24"/>
        </w:rPr>
        <w:t>in utero</w:t>
      </w:r>
      <w:r>
        <w:rPr>
          <w:sz w:val="24"/>
        </w:rPr>
        <w:t xml:space="preserve"> electroporation (</w:t>
      </w:r>
      <w:r>
        <w:rPr>
          <w:rFonts w:eastAsia="等线"/>
          <w:sz w:val="24"/>
        </w:rPr>
        <w:t>IUE) following BrdU injection and sample collection at designated time points. E</w:t>
      </w:r>
      <w:r>
        <w:rPr>
          <w:color w:val="000000"/>
          <w:sz w:val="24"/>
          <w:shd w:val="clear" w:color="auto" w:fill="FFFFFF"/>
        </w:rPr>
        <w:t>nhanced green fluorescent protein</w:t>
      </w:r>
      <w:r>
        <w:rPr>
          <w:rFonts w:eastAsia="等线"/>
          <w:sz w:val="24"/>
        </w:rPr>
        <w:t xml:space="preserve"> (EGFP) only or together with </w:t>
      </w:r>
      <w:r>
        <w:rPr>
          <w:rFonts w:eastAsia="等线"/>
          <w:i/>
          <w:iCs/>
          <w:sz w:val="24"/>
        </w:rPr>
        <w:t>BMP7</w:t>
      </w:r>
      <w:r>
        <w:rPr>
          <w:rFonts w:eastAsia="等线"/>
          <w:sz w:val="24"/>
        </w:rPr>
        <w:t>-containing plasmids were electroporated into E13.5 embryos and pregnant mice were killed at E15.5, E16.5, E17.5 and E18.5 time points, respectively. BrdU (50 mg/kg body weight, i.p.) was injected at E15.5 and E16.5 before sample collection.</w:t>
      </w:r>
    </w:p>
    <w:p w14:paraId="1CF78227" w14:textId="77777777" w:rsidR="003C47AE" w:rsidRDefault="003C47AE" w:rsidP="00006CC2">
      <w:pPr>
        <w:widowControl/>
        <w:spacing w:line="360" w:lineRule="auto"/>
        <w:jc w:val="left"/>
        <w:rPr>
          <w:kern w:val="0"/>
          <w:sz w:val="24"/>
        </w:rPr>
        <w:sectPr w:rsidR="003C47AE">
          <w:pgSz w:w="11906" w:h="16838"/>
          <w:pgMar w:top="1440" w:right="1800" w:bottom="1440" w:left="1800" w:header="851" w:footer="992" w:gutter="0"/>
          <w:lnNumType w:countBy="1" w:restart="continuous"/>
          <w:cols w:space="720"/>
          <w:docGrid w:type="lines" w:linePitch="312"/>
        </w:sectPr>
      </w:pPr>
    </w:p>
    <w:p w14:paraId="1CF78228" w14:textId="77777777" w:rsidR="003C47AE" w:rsidRDefault="00FD5F0D" w:rsidP="00006CC2">
      <w:pPr>
        <w:spacing w:line="360" w:lineRule="auto"/>
        <w:jc w:val="center"/>
        <w:rPr>
          <w:b/>
          <w:sz w:val="24"/>
        </w:rPr>
      </w:pPr>
      <w:r>
        <w:rPr>
          <w:noProof/>
          <w:sz w:val="24"/>
        </w:rPr>
        <w:lastRenderedPageBreak/>
        <w:drawing>
          <wp:inline distT="0" distB="0" distL="0" distR="0" wp14:anchorId="1CF7824A" wp14:editId="1CF7824B">
            <wp:extent cx="5274310" cy="4551045"/>
            <wp:effectExtent l="0" t="0" r="8890" b="825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5274310" cy="4551045"/>
                    </a:xfrm>
                    <a:prstGeom prst="rect">
                      <a:avLst/>
                    </a:prstGeom>
                  </pic:spPr>
                </pic:pic>
              </a:graphicData>
            </a:graphic>
          </wp:inline>
        </w:drawing>
      </w:r>
    </w:p>
    <w:p w14:paraId="1CF78229" w14:textId="565EE767" w:rsidR="003C47AE" w:rsidRDefault="00FD5F0D" w:rsidP="00006CC2">
      <w:pPr>
        <w:spacing w:line="360" w:lineRule="auto"/>
        <w:rPr>
          <w:rFonts w:eastAsia="等线"/>
          <w:sz w:val="24"/>
        </w:rPr>
        <w:sectPr w:rsidR="003C47AE">
          <w:pgSz w:w="11906" w:h="16838"/>
          <w:pgMar w:top="1440" w:right="1800" w:bottom="1440" w:left="1800" w:header="851" w:footer="992" w:gutter="0"/>
          <w:lnNumType w:countBy="1" w:restart="continuous"/>
          <w:cols w:space="720"/>
          <w:docGrid w:type="lines" w:linePitch="312"/>
        </w:sectPr>
      </w:pPr>
      <w:r>
        <w:rPr>
          <w:b/>
          <w:sz w:val="24"/>
        </w:rPr>
        <w:t>Fig. S10.</w:t>
      </w:r>
      <w:r>
        <w:rPr>
          <w:sz w:val="24"/>
        </w:rPr>
        <w:t xml:space="preserve"> </w:t>
      </w:r>
      <w:r>
        <w:rPr>
          <w:b/>
          <w:sz w:val="24"/>
        </w:rPr>
        <w:t>(A)</w:t>
      </w:r>
      <w:r>
        <w:rPr>
          <w:sz w:val="24"/>
        </w:rPr>
        <w:t xml:space="preserve"> The overlap results between primate-specific </w:t>
      </w:r>
      <w:r w:rsidR="008F49C6" w:rsidRPr="008F49C6">
        <w:rPr>
          <w:sz w:val="24"/>
        </w:rPr>
        <w:t>brain-biased gene</w:t>
      </w:r>
      <w:r>
        <w:rPr>
          <w:sz w:val="24"/>
        </w:rPr>
        <w:t xml:space="preserve">s (PSBEGs) and genes harboring proximal </w:t>
      </w:r>
      <w:r>
        <w:rPr>
          <w:rFonts w:eastAsia="等线"/>
          <w:iCs/>
          <w:sz w:val="24"/>
        </w:rPr>
        <w:t>RECNEs</w:t>
      </w:r>
      <w:r>
        <w:rPr>
          <w:sz w:val="24"/>
        </w:rPr>
        <w:t xml:space="preserve"> in different primate lineages. </w:t>
      </w:r>
      <w:r>
        <w:rPr>
          <w:rFonts w:eastAsia="等线"/>
          <w:sz w:val="24"/>
        </w:rPr>
        <w:t xml:space="preserve">The significance of </w:t>
      </w:r>
      <w:r w:rsidR="006558F2">
        <w:rPr>
          <w:rFonts w:eastAsia="等线"/>
          <w:sz w:val="24"/>
        </w:rPr>
        <w:t xml:space="preserve">the </w:t>
      </w:r>
      <w:r>
        <w:rPr>
          <w:rFonts w:eastAsia="等线"/>
          <w:sz w:val="24"/>
        </w:rPr>
        <w:t xml:space="preserve">overlap was measured by </w:t>
      </w:r>
      <w:r w:rsidR="00A45D81">
        <w:rPr>
          <w:rFonts w:eastAsia="等线"/>
          <w:sz w:val="24"/>
        </w:rPr>
        <w:t xml:space="preserve">the </w:t>
      </w:r>
      <w:r>
        <w:rPr>
          <w:rFonts w:eastAsia="等线"/>
          <w:sz w:val="24"/>
        </w:rPr>
        <w:t xml:space="preserve">Fisher’s exact test, and the p values were corrected for multiple testing using Benjamini-Hochberg. </w:t>
      </w:r>
      <w:r>
        <w:rPr>
          <w:sz w:val="24"/>
        </w:rPr>
        <w:t>Counts of overlapping genes are plotted (with the number indicated by the size of dots). Significance is denoted by color (dark blue, Significant; white, Non-significant)</w:t>
      </w:r>
      <w:r>
        <w:rPr>
          <w:rFonts w:eastAsia="等线"/>
          <w:sz w:val="24"/>
        </w:rPr>
        <w:t xml:space="preserve">. </w:t>
      </w:r>
      <w:r>
        <w:rPr>
          <w:rFonts w:eastAsia="等线"/>
          <w:b/>
          <w:sz w:val="24"/>
        </w:rPr>
        <w:t>(B)</w:t>
      </w:r>
      <w:r>
        <w:rPr>
          <w:rFonts w:eastAsia="等线"/>
          <w:sz w:val="24"/>
        </w:rPr>
        <w:t xml:space="preserve"> </w:t>
      </w:r>
      <w:r>
        <w:rPr>
          <w:sz w:val="24"/>
        </w:rPr>
        <w:t>The overlap results between PSBEGs and genes harboring activated peaks in human fetal brain, only in primate fetal brain (primate: human and rhesus macaque; compared with mouse) and only in human fetal brain (compared with rhesus macaque and mouse), respectively. Counts of overlapping genes are plotted (with number indicated by the dot size), the ratio of overlap is denoted by color (</w:t>
      </w:r>
      <w:r>
        <w:rPr>
          <w:rFonts w:eastAsia="等线"/>
          <w:iCs/>
          <w:sz w:val="24"/>
        </w:rPr>
        <w:t xml:space="preserve">the ratio of intersection over the total number of </w:t>
      </w:r>
      <w:r>
        <w:rPr>
          <w:sz w:val="24"/>
        </w:rPr>
        <w:t xml:space="preserve">PSBEGs was used to depict the </w:t>
      </w:r>
      <w:r w:rsidR="0088685A">
        <w:rPr>
          <w:sz w:val="24"/>
        </w:rPr>
        <w:t xml:space="preserve">extent </w:t>
      </w:r>
      <w:r>
        <w:rPr>
          <w:sz w:val="24"/>
        </w:rPr>
        <w:t>of overlap)</w:t>
      </w:r>
      <w:r>
        <w:rPr>
          <w:rFonts w:eastAsia="等线"/>
          <w:sz w:val="24"/>
        </w:rPr>
        <w:t>.</w:t>
      </w:r>
    </w:p>
    <w:p w14:paraId="1CF7822A" w14:textId="77777777" w:rsidR="003C47AE" w:rsidRDefault="00FD5F0D" w:rsidP="00006CC2">
      <w:pPr>
        <w:spacing w:line="360" w:lineRule="auto"/>
        <w:jc w:val="center"/>
        <w:rPr>
          <w:kern w:val="0"/>
          <w:sz w:val="24"/>
        </w:rPr>
      </w:pPr>
      <w:r>
        <w:rPr>
          <w:noProof/>
          <w:kern w:val="0"/>
          <w:sz w:val="24"/>
        </w:rPr>
        <w:lastRenderedPageBreak/>
        <w:drawing>
          <wp:inline distT="0" distB="0" distL="0" distR="0" wp14:anchorId="1CF7824C" wp14:editId="1CF7824D">
            <wp:extent cx="5274310" cy="3509010"/>
            <wp:effectExtent l="0" t="0" r="8890" b="889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5274310" cy="3509010"/>
                    </a:xfrm>
                    <a:prstGeom prst="rect">
                      <a:avLst/>
                    </a:prstGeom>
                  </pic:spPr>
                </pic:pic>
              </a:graphicData>
            </a:graphic>
          </wp:inline>
        </w:drawing>
      </w:r>
    </w:p>
    <w:p w14:paraId="1CF7822B" w14:textId="77777777" w:rsidR="008B5423" w:rsidRDefault="00FD5F0D" w:rsidP="00006CC2">
      <w:pPr>
        <w:spacing w:line="360" w:lineRule="auto"/>
        <w:jc w:val="left"/>
        <w:rPr>
          <w:rFonts w:eastAsia="等线"/>
          <w:iCs/>
          <w:sz w:val="24"/>
        </w:rPr>
        <w:sectPr w:rsidR="008B5423">
          <w:pgSz w:w="11906" w:h="16838"/>
          <w:pgMar w:top="1440" w:right="1800" w:bottom="1440" w:left="1800" w:header="851" w:footer="992" w:gutter="0"/>
          <w:lnNumType w:countBy="1" w:restart="continuous"/>
          <w:cols w:space="425"/>
          <w:docGrid w:type="lines" w:linePitch="312"/>
        </w:sectPr>
      </w:pPr>
      <w:r>
        <w:rPr>
          <w:b/>
          <w:sz w:val="24"/>
        </w:rPr>
        <w:t>Fig. S11.</w:t>
      </w:r>
      <w:r>
        <w:rPr>
          <w:sz w:val="24"/>
        </w:rPr>
        <w:t xml:space="preserve"> IGV screenshots of eight CHIP-seq samples from fetal human brains in two human specifically activated promoters or enhancers around the </w:t>
      </w:r>
      <w:r>
        <w:rPr>
          <w:i/>
          <w:sz w:val="24"/>
        </w:rPr>
        <w:t>BMP7</w:t>
      </w:r>
      <w:r>
        <w:rPr>
          <w:sz w:val="24"/>
        </w:rPr>
        <w:t xml:space="preserve"> gene. Below, expanded view of the two human specifically activated promoters or enhancers. </w:t>
      </w:r>
      <w:r>
        <w:rPr>
          <w:rFonts w:eastAsia="等线"/>
          <w:iCs/>
          <w:sz w:val="24"/>
        </w:rPr>
        <w:t xml:space="preserve">The chromatin interaction data of fetal human brain were obtained from </w:t>
      </w:r>
      <w:r>
        <w:rPr>
          <w:rFonts w:eastAsia="等线"/>
          <w:iCs/>
          <w:sz w:val="24"/>
        </w:rPr>
        <w:fldChar w:fldCharType="begin"/>
      </w:r>
      <w:r>
        <w:rPr>
          <w:rFonts w:eastAsia="等线"/>
          <w:iCs/>
          <w:sz w:val="24"/>
        </w:rPr>
        <w:instrText xml:space="preserve"> ADDIN EN.CITE &lt;EndNote&gt;&lt;Cite&gt;&lt;Author&gt;Reilly&lt;/Author&gt;&lt;Year&gt;2015&lt;/Year&gt;&lt;RecNum&gt;69&lt;/RecNum&gt;&lt;DisplayText&gt;(Reilly, et al. 2015)&lt;/DisplayText&gt;&lt;record&gt;&lt;rec-number&gt;69&lt;/rec-number&gt;&lt;foreign-keys&gt;&lt;key app="EN" db-id="2sxfwr0zoepw53erwx65wx9vw5a5ae22r5r9" timestamp="1627975236"&gt;69&lt;/key&gt;&lt;/foreign-keys&gt;&lt;ref-type name="Journal Article"&gt;17&lt;/ref-type&gt;&lt;contributors&gt;&lt;authors&gt;&lt;author&gt;Reilly, S. K.&lt;/author&gt;&lt;author&gt;Yin, J.&lt;/author&gt;&lt;author&gt;Ayoub, A. E.&lt;/author&gt;&lt;author&gt;Emera, D.&lt;/author&gt;&lt;author&gt;Leng, J.&lt;/author&gt;&lt;author&gt;Cotney, J.&lt;/author&gt;&lt;author&gt;Sarro, R.&lt;/author&gt;&lt;author&gt;Rakic, P.&lt;/author&gt;&lt;author&gt;Noonan, J. P.&lt;/author&gt;&lt;/authors&gt;&lt;/contributors&gt;&lt;auth-address&gt;Yale Univ, Sch Med, Dept Genet, New Haven, CT 06510 USA&amp;#xD;Yale Univ, Sch Med, Kavli Inst Neurosci, New Haven, CT 06510 USA&amp;#xD;Yale Univ, Sch Med, Dept Neurobiol, New Haven, CT 06510 USA&amp;#xD;Yale Univ, Program Computat Biol &amp;amp; Bioinformat, New Haven, CT 06511 USA&lt;/auth-address&gt;&lt;titles&gt;&lt;title&gt;Evolutionary changes in promoter and enhancer activity during human corticogenesi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1155-1159&lt;/pages&gt;&lt;volume&gt;347&lt;/volume&gt;&lt;number&gt;6226&lt;/number&gt;&lt;keywords&gt;&lt;keyword&gt;embryonic limb&lt;/keyword&gt;&lt;keyword&gt;cell-cycle&lt;/keyword&gt;&lt;keyword&gt;expression&lt;/keyword&gt;&lt;keyword&gt;neurons&lt;/keyword&gt;&lt;keyword&gt;origin&lt;/keyword&gt;&lt;keyword&gt;cortex&lt;/keyword&gt;&lt;keyword&gt;murine&lt;/keyword&gt;&lt;keyword&gt;brain&lt;/keyword&gt;&lt;/keywords&gt;&lt;dates&gt;&lt;year&gt;2015&lt;/year&gt;&lt;pub-dates&gt;&lt;date&gt;Mar 6&lt;/date&gt;&lt;/pub-dates&gt;&lt;/dates&gt;&lt;isbn&gt;0036-8075&lt;/isbn&gt;&lt;accession-num&gt;WOS:000350354200058&lt;/accession-num&gt;&lt;urls&gt;&lt;related-urls&gt;&lt;url&gt;&amp;lt;Go to ISI&amp;gt;://WOS:000350354200058&lt;/url&gt;&lt;/related-urls&gt;&lt;/urls&gt;&lt;electronic-resource-num&gt;10.1126/science.1260943&lt;/electronic-resource-num&gt;&lt;language&gt;English&lt;/language&gt;&lt;/record&gt;&lt;/Cite&gt;&lt;/EndNote&gt;</w:instrText>
      </w:r>
      <w:r>
        <w:rPr>
          <w:rFonts w:eastAsia="等线"/>
          <w:iCs/>
          <w:sz w:val="24"/>
        </w:rPr>
        <w:fldChar w:fldCharType="separate"/>
      </w:r>
      <w:r>
        <w:rPr>
          <w:rFonts w:eastAsia="等线"/>
          <w:iCs/>
          <w:sz w:val="24"/>
        </w:rPr>
        <w:t>(</w:t>
      </w:r>
      <w:hyperlink w:anchor="_ENREF_4" w:tooltip="Reilly, 2015 #69" w:history="1">
        <w:r w:rsidR="00D547DF">
          <w:rPr>
            <w:rFonts w:eastAsia="等线"/>
            <w:iCs/>
            <w:sz w:val="24"/>
          </w:rPr>
          <w:t>Reilly, et al. 2015</w:t>
        </w:r>
      </w:hyperlink>
      <w:r>
        <w:rPr>
          <w:rFonts w:eastAsia="等线"/>
          <w:iCs/>
          <w:sz w:val="24"/>
        </w:rPr>
        <w:t>)</w:t>
      </w:r>
      <w:r>
        <w:rPr>
          <w:rFonts w:eastAsia="等线"/>
          <w:iCs/>
          <w:sz w:val="24"/>
        </w:rPr>
        <w:fldChar w:fldCharType="end"/>
      </w:r>
      <w:r>
        <w:rPr>
          <w:rFonts w:eastAsia="等线" w:hint="eastAsia"/>
          <w:iCs/>
          <w:sz w:val="24"/>
        </w:rPr>
        <w:t>.</w:t>
      </w:r>
    </w:p>
    <w:p w14:paraId="1CF7822C" w14:textId="77777777" w:rsidR="003C47AE" w:rsidRPr="000B6AAF" w:rsidRDefault="00D547DF" w:rsidP="00006CC2">
      <w:pPr>
        <w:spacing w:line="360" w:lineRule="auto"/>
        <w:jc w:val="center"/>
        <w:rPr>
          <w:rFonts w:eastAsia="等线"/>
          <w:iCs/>
          <w:sz w:val="24"/>
        </w:rPr>
      </w:pPr>
      <w:r>
        <w:rPr>
          <w:b/>
          <w:noProof/>
          <w:color w:val="0070C0"/>
          <w:sz w:val="24"/>
        </w:rPr>
        <w:lastRenderedPageBreak/>
        <w:drawing>
          <wp:inline distT="0" distB="0" distL="0" distR="0" wp14:anchorId="1CF7824E" wp14:editId="1CF7824F">
            <wp:extent cx="5274310" cy="720471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8EC2413.tmp"/>
                    <pic:cNvPicPr/>
                  </pic:nvPicPr>
                  <pic:blipFill>
                    <a:blip r:embed="rId17">
                      <a:extLst>
                        <a:ext uri="{28A0092B-C50C-407E-A947-70E740481C1C}">
                          <a14:useLocalDpi xmlns:a14="http://schemas.microsoft.com/office/drawing/2010/main" val="0"/>
                        </a:ext>
                      </a:extLst>
                    </a:blip>
                    <a:stretch>
                      <a:fillRect/>
                    </a:stretch>
                  </pic:blipFill>
                  <pic:spPr>
                    <a:xfrm>
                      <a:off x="0" y="0"/>
                      <a:ext cx="5274310" cy="7204710"/>
                    </a:xfrm>
                    <a:prstGeom prst="rect">
                      <a:avLst/>
                    </a:prstGeom>
                  </pic:spPr>
                </pic:pic>
              </a:graphicData>
            </a:graphic>
          </wp:inline>
        </w:drawing>
      </w:r>
    </w:p>
    <w:p w14:paraId="1CF7822D" w14:textId="3579FAEF" w:rsidR="008B5423" w:rsidRPr="008B5423" w:rsidRDefault="008B5423" w:rsidP="00006CC2">
      <w:pPr>
        <w:spacing w:line="360" w:lineRule="auto"/>
        <w:jc w:val="left"/>
        <w:rPr>
          <w:rFonts w:eastAsia="等线"/>
          <w:iCs/>
          <w:sz w:val="24"/>
        </w:rPr>
      </w:pPr>
      <w:r>
        <w:rPr>
          <w:b/>
          <w:sz w:val="24"/>
        </w:rPr>
        <w:t xml:space="preserve">Fig. S12. </w:t>
      </w:r>
      <w:r w:rsidR="00D547DF" w:rsidRPr="00D547DF">
        <w:rPr>
          <w:sz w:val="24"/>
        </w:rPr>
        <w:t xml:space="preserve">Boxplot depicting the normalized expression of </w:t>
      </w:r>
      <w:r w:rsidR="00D547DF" w:rsidRPr="009F26CC">
        <w:rPr>
          <w:i/>
          <w:sz w:val="24"/>
        </w:rPr>
        <w:t>BMP7</w:t>
      </w:r>
      <w:r w:rsidR="00D547DF" w:rsidRPr="00D547DF">
        <w:rPr>
          <w:sz w:val="24"/>
        </w:rPr>
        <w:t xml:space="preserve"> in brain (above) and non-neural (below) tissues from human (filled in red) and tree shrew (filled in blue). The normalized expression of </w:t>
      </w:r>
      <w:r w:rsidR="00D547DF" w:rsidRPr="009F26CC">
        <w:rPr>
          <w:i/>
          <w:sz w:val="24"/>
        </w:rPr>
        <w:t>BMP7</w:t>
      </w:r>
      <w:r w:rsidR="00D547DF" w:rsidRPr="00D547DF">
        <w:rPr>
          <w:sz w:val="24"/>
        </w:rPr>
        <w:t xml:space="preserve"> in each species was calculated by the median of ratios method in DEseq2</w:t>
      </w:r>
      <w:r w:rsidR="00D547DF">
        <w:rPr>
          <w:sz w:val="24"/>
        </w:rPr>
        <w:t xml:space="preserve"> </w:t>
      </w:r>
      <w:r w:rsidR="00D547DF">
        <w:rPr>
          <w:sz w:val="24"/>
        </w:rPr>
        <w:fldChar w:fldCharType="begin"/>
      </w:r>
      <w:r w:rsidR="00D547DF">
        <w:rPr>
          <w:sz w:val="24"/>
        </w:rPr>
        <w:instrText xml:space="preserve"> ADDIN EN.CITE &lt;EndNote&gt;&lt;Cite&gt;&lt;Author&gt;Love&lt;/Author&gt;&lt;Year&gt;2014&lt;/Year&gt;&lt;RecNum&gt;187&lt;/RecNum&gt;&lt;DisplayText&gt;(Love, et al. 2014)&lt;/DisplayText&gt;&lt;record&gt;&lt;rec-number&gt;187&lt;/rec-number&gt;&lt;foreign-keys&gt;&lt;key app="EN" db-id="2sxfwr0zoepw53erwx65wx9vw5a5ae22r5r9" timestamp="1685866242"&gt;187&lt;/key&gt;&lt;/foreign-keys&gt;&lt;ref-type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(Electronic)&amp;#xD;1465-6906 (Print)&amp;#xD;1474-7596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D547DF">
        <w:rPr>
          <w:sz w:val="24"/>
        </w:rPr>
        <w:fldChar w:fldCharType="separate"/>
      </w:r>
      <w:r w:rsidR="00D547DF">
        <w:rPr>
          <w:noProof/>
          <w:sz w:val="24"/>
        </w:rPr>
        <w:t>(</w:t>
      </w:r>
      <w:hyperlink w:anchor="_ENREF_3" w:tooltip="Love, 2014 #187" w:history="1">
        <w:r w:rsidR="00D547DF">
          <w:rPr>
            <w:noProof/>
            <w:sz w:val="24"/>
          </w:rPr>
          <w:t>Love, et al. 2014</w:t>
        </w:r>
      </w:hyperlink>
      <w:r w:rsidR="00D547DF">
        <w:rPr>
          <w:noProof/>
          <w:sz w:val="24"/>
        </w:rPr>
        <w:t>)</w:t>
      </w:r>
      <w:r w:rsidR="00D547DF">
        <w:rPr>
          <w:sz w:val="24"/>
        </w:rPr>
        <w:fldChar w:fldCharType="end"/>
      </w:r>
      <w:r w:rsidR="00D547DF" w:rsidRPr="00D547DF">
        <w:rPr>
          <w:sz w:val="24"/>
        </w:rPr>
        <w:t xml:space="preserve">; once the sequencing depth and RNA composition had been taken into account, the normalized gene counts could be </w:t>
      </w:r>
      <w:r w:rsidR="00D547DF" w:rsidRPr="00D547DF">
        <w:rPr>
          <w:sz w:val="24"/>
        </w:rPr>
        <w:lastRenderedPageBreak/>
        <w:t xml:space="preserve">compared between samples. Then, for each tissue in each species, we calculated the average expression </w:t>
      </w:r>
      <w:r w:rsidR="00955BAE">
        <w:rPr>
          <w:sz w:val="24"/>
        </w:rPr>
        <w:t xml:space="preserve">level </w:t>
      </w:r>
      <w:r w:rsidR="00D547DF" w:rsidRPr="00D547DF">
        <w:rPr>
          <w:sz w:val="24"/>
        </w:rPr>
        <w:t xml:space="preserve">of the top 10000 genes, then the normalized expression level of each gene divided by the average expression </w:t>
      </w:r>
      <w:r w:rsidR="00B7281C">
        <w:rPr>
          <w:sz w:val="24"/>
        </w:rPr>
        <w:t xml:space="preserve">level </w:t>
      </w:r>
      <w:r w:rsidR="00D547DF" w:rsidRPr="00D547DF">
        <w:rPr>
          <w:sz w:val="24"/>
        </w:rPr>
        <w:t>in each tissue in each species. Data in each group were analyzed using an Un</w:t>
      </w:r>
      <w:bookmarkStart w:id="7" w:name="_GoBack"/>
      <w:bookmarkEnd w:id="7"/>
      <w:r w:rsidR="00D547DF" w:rsidRPr="00D547DF">
        <w:rPr>
          <w:sz w:val="24"/>
        </w:rPr>
        <w:t>paired t test with Welch's correction. * p &lt;0.05; ** p&lt;0.01; *** p&lt;0.001. ACC, Anterior cingulate cortex; HIP: Hippocampus; PFC, Frontal Cortex; STR, Striatum; DPFC, Dorsolateral prefrontal cortex; PMC, Premotor cortex; V1C, Primary visual cortex; VPFC, Ventral lateral prefrontal cortex.</w:t>
      </w:r>
    </w:p>
    <w:p w14:paraId="1CF7822E" w14:textId="77777777" w:rsidR="003C47AE" w:rsidRDefault="003C47AE" w:rsidP="00006CC2">
      <w:pPr>
        <w:spacing w:line="360" w:lineRule="auto"/>
        <w:jc w:val="left"/>
        <w:rPr>
          <w:rFonts w:eastAsia="等线"/>
          <w:iCs/>
          <w:sz w:val="24"/>
        </w:rPr>
      </w:pPr>
    </w:p>
    <w:p w14:paraId="1CF7822F" w14:textId="77777777" w:rsidR="003C47AE" w:rsidRDefault="00FD5F0D" w:rsidP="00006CC2">
      <w:pPr>
        <w:autoSpaceDE w:val="0"/>
        <w:autoSpaceDN w:val="0"/>
        <w:adjustRightInd w:val="0"/>
        <w:spacing w:line="360" w:lineRule="auto"/>
        <w:jc w:val="left"/>
        <w:rPr>
          <w:b/>
          <w:bCs/>
          <w:kern w:val="0"/>
          <w:sz w:val="24"/>
        </w:rPr>
      </w:pPr>
      <w:r>
        <w:rPr>
          <w:b/>
          <w:bCs/>
          <w:kern w:val="0"/>
          <w:sz w:val="24"/>
        </w:rPr>
        <w:t>Supplementary Tables</w:t>
      </w:r>
    </w:p>
    <w:p w14:paraId="1CF78230" w14:textId="77777777" w:rsidR="003C47AE" w:rsidRDefault="00FD5F0D" w:rsidP="00006CC2">
      <w:pPr>
        <w:spacing w:line="360" w:lineRule="auto"/>
        <w:rPr>
          <w:b/>
          <w:kern w:val="0"/>
          <w:sz w:val="24"/>
        </w:rPr>
      </w:pPr>
      <w:r>
        <w:rPr>
          <w:kern w:val="0"/>
          <w:sz w:val="24"/>
        </w:rPr>
        <w:t>Supplementary tables are provided in one Microsoft Excel file</w:t>
      </w:r>
      <w:r>
        <w:rPr>
          <w:rFonts w:eastAsia="等线"/>
          <w:iCs/>
          <w:sz w:val="24"/>
        </w:rPr>
        <w:t>.</w:t>
      </w:r>
    </w:p>
    <w:p w14:paraId="1CF78231" w14:textId="77777777" w:rsidR="003C47AE" w:rsidRDefault="003C47AE" w:rsidP="00006CC2">
      <w:pPr>
        <w:spacing w:line="360" w:lineRule="auto"/>
      </w:pPr>
    </w:p>
    <w:p w14:paraId="1CF78232" w14:textId="77777777" w:rsidR="004D565C" w:rsidRDefault="004D565C" w:rsidP="00006CC2">
      <w:pPr>
        <w:spacing w:line="360" w:lineRule="auto"/>
        <w:jc w:val="left"/>
        <w:rPr>
          <w:rFonts w:eastAsia="等线"/>
          <w:sz w:val="24"/>
        </w:rPr>
      </w:pPr>
      <w:r>
        <w:rPr>
          <w:rFonts w:eastAsia="等线"/>
          <w:b/>
          <w:color w:val="000000"/>
          <w:sz w:val="24"/>
        </w:rPr>
        <w:t>References</w:t>
      </w:r>
    </w:p>
    <w:p w14:paraId="1CF78233" w14:textId="77777777" w:rsidR="00D547DF" w:rsidRPr="000B6AAF" w:rsidRDefault="004D565C" w:rsidP="00006CC2">
      <w:pPr>
        <w:pStyle w:val="EndNoteBibliography"/>
        <w:spacing w:line="360" w:lineRule="auto"/>
        <w:rPr>
          <w:noProof/>
          <w:sz w:val="24"/>
        </w:rPr>
      </w:pPr>
      <w:r w:rsidRPr="000B6AAF">
        <w:rPr>
          <w:rFonts w:eastAsia="宋体"/>
          <w:kern w:val="0"/>
          <w:sz w:val="24"/>
        </w:rPr>
        <w:fldChar w:fldCharType="begin"/>
      </w:r>
      <w:r w:rsidRPr="000B6AAF">
        <w:rPr>
          <w:rFonts w:eastAsia="宋体"/>
          <w:kern w:val="0"/>
          <w:sz w:val="24"/>
        </w:rPr>
        <w:instrText xml:space="preserve"> ADDIN EN.REFLIST </w:instrText>
      </w:r>
      <w:r w:rsidRPr="000B6AAF">
        <w:rPr>
          <w:rFonts w:eastAsia="宋体"/>
          <w:kern w:val="0"/>
          <w:sz w:val="24"/>
        </w:rPr>
        <w:fldChar w:fldCharType="separate"/>
      </w:r>
      <w:bookmarkStart w:id="8" w:name="_ENREF_1"/>
      <w:r w:rsidR="00D547DF" w:rsidRPr="000B6AAF">
        <w:rPr>
          <w:noProof/>
          <w:sz w:val="24"/>
        </w:rPr>
        <w:t>Fietz SA, Lachmann R, Brandl H, Kircher M, Samusik N, Schroder R, Lakshmanaperumal N, Henry I, Vogt J, Riehn A, et al. 2012. Transcriptomes of germinal zones of human and mouse fetal neocortex suggest a role of extracellular matrix in progenitor self-renewal. Proc Natl Acad Sci U S A 109:11836-11841.</w:t>
      </w:r>
      <w:bookmarkEnd w:id="8"/>
    </w:p>
    <w:p w14:paraId="1CF78234" w14:textId="77777777" w:rsidR="00D547DF" w:rsidRPr="000B6AAF" w:rsidRDefault="00D547DF" w:rsidP="00006CC2">
      <w:pPr>
        <w:pStyle w:val="EndNoteBibliography"/>
        <w:spacing w:line="360" w:lineRule="auto"/>
        <w:rPr>
          <w:noProof/>
          <w:sz w:val="24"/>
        </w:rPr>
      </w:pPr>
      <w:bookmarkStart w:id="9" w:name="_ENREF_2"/>
      <w:r w:rsidRPr="000B6AAF">
        <w:rPr>
          <w:noProof/>
          <w:sz w:val="24"/>
        </w:rPr>
        <w:t xml:space="preserve">Florio M, Albert M, Taverna E, Namba T, Brandl H, Lewitus E, Haffner C, Sykes A, Wong FK, Peters J, et al. 2015. Human-specific gene </w:t>
      </w:r>
      <w:r w:rsidRPr="00D60EF1">
        <w:rPr>
          <w:i/>
          <w:iCs/>
          <w:noProof/>
          <w:sz w:val="24"/>
        </w:rPr>
        <w:t>ARHGAP11B</w:t>
      </w:r>
      <w:r w:rsidRPr="000B6AAF">
        <w:rPr>
          <w:noProof/>
          <w:sz w:val="24"/>
        </w:rPr>
        <w:t xml:space="preserve"> promotes basal progenitor amplification and neocortex expansion. Science 347:1465-1470.</w:t>
      </w:r>
      <w:bookmarkEnd w:id="9"/>
    </w:p>
    <w:p w14:paraId="1CF78235" w14:textId="77777777" w:rsidR="00D547DF" w:rsidRPr="000B6AAF" w:rsidRDefault="00D547DF" w:rsidP="00006CC2">
      <w:pPr>
        <w:pStyle w:val="EndNoteBibliography"/>
        <w:spacing w:line="360" w:lineRule="auto"/>
        <w:rPr>
          <w:noProof/>
          <w:sz w:val="24"/>
        </w:rPr>
      </w:pPr>
      <w:bookmarkStart w:id="10" w:name="_ENREF_3"/>
      <w:r w:rsidRPr="000B6AAF">
        <w:rPr>
          <w:noProof/>
          <w:sz w:val="24"/>
        </w:rPr>
        <w:t>Love MI, Huber W, Anders S. 2014. Moderated estimation of fold change and dispersion for RNA-seq data with DESeq2. Genome Biol 15:550.</w:t>
      </w:r>
      <w:bookmarkEnd w:id="10"/>
    </w:p>
    <w:p w14:paraId="1CF78236" w14:textId="77777777" w:rsidR="00D547DF" w:rsidRPr="000B6AAF" w:rsidRDefault="00D547DF" w:rsidP="00006CC2">
      <w:pPr>
        <w:pStyle w:val="EndNoteBibliography"/>
        <w:spacing w:line="360" w:lineRule="auto"/>
        <w:rPr>
          <w:noProof/>
          <w:sz w:val="24"/>
        </w:rPr>
      </w:pPr>
      <w:bookmarkStart w:id="11" w:name="_ENREF_4"/>
      <w:r w:rsidRPr="000B6AAF">
        <w:rPr>
          <w:noProof/>
          <w:sz w:val="24"/>
        </w:rPr>
        <w:t>Reilly SK, Yin J, Ayoub AE, Emera D, Leng J, Cotney J, Sarro R, Rakic P, Noonan JP. 2015. Evolutionary changes in promoter and enhancer activity during human corticogenesis. Science 347:1155-1159.</w:t>
      </w:r>
      <w:bookmarkEnd w:id="11"/>
    </w:p>
    <w:p w14:paraId="1CF78237" w14:textId="77777777" w:rsidR="004D565C" w:rsidRPr="000B6AAF" w:rsidRDefault="004D565C" w:rsidP="00006CC2">
      <w:pPr>
        <w:spacing w:line="360" w:lineRule="auto"/>
        <w:rPr>
          <w:kern w:val="0"/>
          <w:sz w:val="24"/>
        </w:rPr>
      </w:pPr>
      <w:r w:rsidRPr="000B6AAF">
        <w:rPr>
          <w:kern w:val="0"/>
          <w:sz w:val="24"/>
        </w:rPr>
        <w:fldChar w:fldCharType="end"/>
      </w:r>
    </w:p>
    <w:sectPr w:rsidR="004D565C" w:rsidRPr="000B6AAF">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CCAA1" w14:textId="77777777" w:rsidR="0037353B" w:rsidRDefault="0037353B" w:rsidP="004D565C">
      <w:r>
        <w:separator/>
      </w:r>
    </w:p>
  </w:endnote>
  <w:endnote w:type="continuationSeparator" w:id="0">
    <w:p w14:paraId="6EAF22FC" w14:textId="77777777" w:rsidR="0037353B" w:rsidRDefault="0037353B" w:rsidP="004D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115FB" w14:textId="77777777" w:rsidR="0037353B" w:rsidRDefault="0037353B" w:rsidP="004D565C">
      <w:r>
        <w:separator/>
      </w:r>
    </w:p>
  </w:footnote>
  <w:footnote w:type="continuationSeparator" w:id="0">
    <w:p w14:paraId="137C413E" w14:textId="77777777" w:rsidR="0037353B" w:rsidRDefault="0037353B" w:rsidP="004D5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3Y2YxOTk4ZDBhN2RkMDBhMjJjODBmMWZmZTEwYmEifQ=="/>
    <w:docVar w:name="EN.InstantFormat" w:val="&lt;ENInstantFormat&gt;&lt;Enabled&gt;1&lt;/Enabled&gt;&lt;ScanUnformatted&gt;1&lt;/ScanUnformatted&gt;&lt;ScanChanges&gt;1&lt;/ScanChanges&gt;&lt;Suspended&gt;0&lt;/Suspended&gt;&lt;/ENInstantFormat&gt;"/>
    <w:docVar w:name="EN.Layout" w:val="&lt;ENLayout&gt;&lt;Style&gt;Molecular Biology Evol&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sxfwr0zoepw53erwx65wx9vw5a5ae22r5r9&quot;&gt;Priamte Project Library&lt;record-ids&gt;&lt;item&gt;69&lt;/item&gt;&lt;item&gt;91&lt;/item&gt;&lt;item&gt;92&lt;/item&gt;&lt;item&gt;187&lt;/item&gt;&lt;/record-ids&gt;&lt;/item&gt;&lt;/Libraries&gt;"/>
  </w:docVars>
  <w:rsids>
    <w:rsidRoot w:val="41ED73A2"/>
    <w:rsid w:val="00006CC2"/>
    <w:rsid w:val="00041F34"/>
    <w:rsid w:val="00063133"/>
    <w:rsid w:val="0006596B"/>
    <w:rsid w:val="00072759"/>
    <w:rsid w:val="000B6AAF"/>
    <w:rsid w:val="0013103E"/>
    <w:rsid w:val="001F5F98"/>
    <w:rsid w:val="00333798"/>
    <w:rsid w:val="0035570D"/>
    <w:rsid w:val="0037353B"/>
    <w:rsid w:val="003C47AE"/>
    <w:rsid w:val="003D3A82"/>
    <w:rsid w:val="003F6E04"/>
    <w:rsid w:val="00457051"/>
    <w:rsid w:val="004D565C"/>
    <w:rsid w:val="004E4DCF"/>
    <w:rsid w:val="005242B7"/>
    <w:rsid w:val="00550B87"/>
    <w:rsid w:val="005A2574"/>
    <w:rsid w:val="00615310"/>
    <w:rsid w:val="006558F2"/>
    <w:rsid w:val="006D3570"/>
    <w:rsid w:val="006E2CB8"/>
    <w:rsid w:val="00725C0F"/>
    <w:rsid w:val="00766546"/>
    <w:rsid w:val="00796FEF"/>
    <w:rsid w:val="007A5950"/>
    <w:rsid w:val="007C2860"/>
    <w:rsid w:val="007D3F24"/>
    <w:rsid w:val="00840678"/>
    <w:rsid w:val="00881272"/>
    <w:rsid w:val="0088685A"/>
    <w:rsid w:val="008B5423"/>
    <w:rsid w:val="008F49C6"/>
    <w:rsid w:val="00955BAE"/>
    <w:rsid w:val="00960C29"/>
    <w:rsid w:val="009F26CC"/>
    <w:rsid w:val="00A45D81"/>
    <w:rsid w:val="00A776EA"/>
    <w:rsid w:val="00AF1993"/>
    <w:rsid w:val="00B411A2"/>
    <w:rsid w:val="00B60E4D"/>
    <w:rsid w:val="00B7281C"/>
    <w:rsid w:val="00C44E75"/>
    <w:rsid w:val="00C66130"/>
    <w:rsid w:val="00CD6E97"/>
    <w:rsid w:val="00D33F98"/>
    <w:rsid w:val="00D547DF"/>
    <w:rsid w:val="00D60EF1"/>
    <w:rsid w:val="00D62DBE"/>
    <w:rsid w:val="00DE0F44"/>
    <w:rsid w:val="00E162AE"/>
    <w:rsid w:val="00E24E28"/>
    <w:rsid w:val="00EE59E5"/>
    <w:rsid w:val="00EF6EB0"/>
    <w:rsid w:val="00F40FD2"/>
    <w:rsid w:val="00F66052"/>
    <w:rsid w:val="00F85772"/>
    <w:rsid w:val="00FD5F0D"/>
    <w:rsid w:val="41ED7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78215"/>
  <w15:docId w15:val="{36CB5828-5A9E-4A1D-ADD3-39C594D6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rsid w:val="00FD5F0D"/>
  </w:style>
  <w:style w:type="paragraph" w:styleId="a4">
    <w:name w:val="header"/>
    <w:basedOn w:val="a"/>
    <w:link w:val="Char"/>
    <w:rsid w:val="004D56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D565C"/>
    <w:rPr>
      <w:rFonts w:ascii="Times New Roman" w:eastAsia="宋体" w:hAnsi="Times New Roman" w:cs="Times New Roman"/>
      <w:kern w:val="2"/>
      <w:sz w:val="18"/>
      <w:szCs w:val="18"/>
    </w:rPr>
  </w:style>
  <w:style w:type="paragraph" w:styleId="a5">
    <w:name w:val="footer"/>
    <w:basedOn w:val="a"/>
    <w:link w:val="Char0"/>
    <w:rsid w:val="004D565C"/>
    <w:pPr>
      <w:tabs>
        <w:tab w:val="center" w:pos="4153"/>
        <w:tab w:val="right" w:pos="8306"/>
      </w:tabs>
      <w:snapToGrid w:val="0"/>
      <w:jc w:val="left"/>
    </w:pPr>
    <w:rPr>
      <w:sz w:val="18"/>
      <w:szCs w:val="18"/>
    </w:rPr>
  </w:style>
  <w:style w:type="character" w:customStyle="1" w:styleId="Char0">
    <w:name w:val="页脚 Char"/>
    <w:basedOn w:val="a0"/>
    <w:link w:val="a5"/>
    <w:rsid w:val="004D565C"/>
    <w:rPr>
      <w:rFonts w:ascii="Times New Roman" w:eastAsia="宋体" w:hAnsi="Times New Roman" w:cs="Times New Roman"/>
      <w:kern w:val="2"/>
      <w:sz w:val="18"/>
      <w:szCs w:val="18"/>
    </w:rPr>
  </w:style>
  <w:style w:type="paragraph" w:customStyle="1" w:styleId="EndNoteBibliography">
    <w:name w:val="EndNote Bibliography"/>
    <w:basedOn w:val="a"/>
    <w:link w:val="EndNoteBibliographyChar"/>
    <w:qFormat/>
    <w:rsid w:val="004D565C"/>
    <w:pPr>
      <w:jc w:val="left"/>
    </w:pPr>
    <w:rPr>
      <w:rFonts w:eastAsia="等线"/>
      <w:sz w:val="20"/>
    </w:rPr>
  </w:style>
  <w:style w:type="character" w:customStyle="1" w:styleId="EndNoteBibliographyChar">
    <w:name w:val="EndNote Bibliography Char"/>
    <w:link w:val="EndNoteBibliography"/>
    <w:qFormat/>
    <w:locked/>
    <w:rsid w:val="004D565C"/>
    <w:rPr>
      <w:rFonts w:ascii="Times New Roman" w:eastAsia="等线" w:hAnsi="Times New Roman" w:cs="Times New Roman"/>
      <w:kern w:val="2"/>
      <w:szCs w:val="24"/>
    </w:rPr>
  </w:style>
  <w:style w:type="paragraph" w:customStyle="1" w:styleId="EndNoteBibliographyTitle">
    <w:name w:val="EndNote Bibliography Title"/>
    <w:basedOn w:val="a"/>
    <w:link w:val="EndNoteBibliographyTitleChar"/>
    <w:rsid w:val="004D565C"/>
    <w:pPr>
      <w:jc w:val="center"/>
    </w:pPr>
    <w:rPr>
      <w:noProof/>
      <w:sz w:val="20"/>
    </w:rPr>
  </w:style>
  <w:style w:type="character" w:customStyle="1" w:styleId="EndNoteBibliographyTitleChar">
    <w:name w:val="EndNote Bibliography Title Char"/>
    <w:basedOn w:val="a0"/>
    <w:link w:val="EndNoteBibliographyTitle"/>
    <w:rsid w:val="004D565C"/>
    <w:rPr>
      <w:rFonts w:ascii="Times New Roman" w:eastAsia="宋体" w:hAnsi="Times New Roman" w:cs="Times New Roman"/>
      <w:noProof/>
      <w:kern w:val="2"/>
      <w:szCs w:val="24"/>
    </w:rPr>
  </w:style>
  <w:style w:type="paragraph" w:styleId="a6">
    <w:name w:val="Balloon Text"/>
    <w:basedOn w:val="a"/>
    <w:link w:val="Char1"/>
    <w:rsid w:val="008F49C6"/>
    <w:rPr>
      <w:sz w:val="18"/>
      <w:szCs w:val="18"/>
    </w:rPr>
  </w:style>
  <w:style w:type="character" w:customStyle="1" w:styleId="Char1">
    <w:name w:val="批注框文本 Char"/>
    <w:basedOn w:val="a0"/>
    <w:link w:val="a6"/>
    <w:rsid w:val="008F49C6"/>
    <w:rPr>
      <w:rFonts w:ascii="Times New Roman" w:eastAsia="宋体" w:hAnsi="Times New Roman" w:cs="Times New Roman"/>
      <w:kern w:val="2"/>
      <w:sz w:val="18"/>
      <w:szCs w:val="18"/>
    </w:rPr>
  </w:style>
  <w:style w:type="character" w:styleId="a7">
    <w:name w:val="Hyperlink"/>
    <w:basedOn w:val="a0"/>
    <w:rsid w:val="00072759"/>
    <w:rPr>
      <w:color w:val="0563C1" w:themeColor="hyperlink"/>
      <w:u w:val="single"/>
    </w:rPr>
  </w:style>
  <w:style w:type="paragraph" w:styleId="a8">
    <w:name w:val="Revision"/>
    <w:hidden/>
    <w:uiPriority w:val="99"/>
    <w:semiHidden/>
    <w:rsid w:val="000B6AAF"/>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tmp"/><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5</TotalTime>
  <Pages>18</Pages>
  <Words>1854</Words>
  <Characters>10568</Characters>
  <Application>Microsoft Office Word</Application>
  <DocSecurity>0</DocSecurity>
  <Lines>88</Lines>
  <Paragraphs>24</Paragraphs>
  <ScaleCrop>false</ScaleCrop>
  <Company/>
  <LinksUpToDate>false</LinksUpToDate>
  <CharactersWithSpaces>12398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微信用户</dc:creator>
  <cp:lastModifiedBy>zhuangxiaolin</cp:lastModifiedBy>
  <cp:revision>8</cp:revision>
  <dcterms:created xsi:type="dcterms:W3CDTF">2023-06-06T09:09:00Z</dcterms:created>
  <dcterms:modified xsi:type="dcterms:W3CDTF">2023-06-06T13:41:00Z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CEDA899D96B64E36BA062DBDFF8C5442</vt:lpwstr>
  </property>
</Properties>
</file>